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z w:val="48"/>
          <w:szCs w:val="48"/>
          <w:lang w:eastAsia="zh-CN"/>
        </w:rPr>
      </w:pPr>
      <w:r>
        <w:rPr>
          <w:rFonts w:hint="eastAsia" w:ascii="方正小标宋简体" w:hAnsi="方正小标宋简体" w:eastAsia="方正小标宋简体" w:cs="方正小标宋简体"/>
          <w:b w:val="0"/>
          <w:bCs w:val="0"/>
          <w:color w:val="auto"/>
          <w:sz w:val="48"/>
          <w:szCs w:val="48"/>
          <w:lang w:eastAsia="zh-CN"/>
        </w:rPr>
        <w:t>成都市劳动和技能竞赛服务中心202</w:t>
      </w:r>
      <w:r>
        <w:rPr>
          <w:rFonts w:hint="eastAsia" w:ascii="方正小标宋简体" w:hAnsi="方正小标宋简体" w:eastAsia="方正小标宋简体" w:cs="方正小标宋简体"/>
          <w:b w:val="0"/>
          <w:bCs w:val="0"/>
          <w:color w:val="auto"/>
          <w:sz w:val="48"/>
          <w:szCs w:val="48"/>
          <w:lang w:val="en-US" w:eastAsia="zh-CN"/>
        </w:rPr>
        <w:t>2</w:t>
      </w:r>
      <w:r>
        <w:rPr>
          <w:rFonts w:hint="eastAsia" w:ascii="方正小标宋简体" w:hAnsi="方正小标宋简体" w:eastAsia="方正小标宋简体" w:cs="方正小标宋简体"/>
          <w:b w:val="0"/>
          <w:bCs w:val="0"/>
          <w:color w:val="auto"/>
          <w:sz w:val="48"/>
          <w:szCs w:val="48"/>
          <w:lang w:eastAsia="zh-CN"/>
        </w:rPr>
        <w:t>年门户网站运行服务采购项目</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各报价单位：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我中心拟以综合评比方式进行下列项目的采购，请就以下采购项目及内容进行书面报价：</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成都市劳动和技能竞赛服务中心2022年门户网站运行服务采购项目</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采购内容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服务器托管服务、服务器基础运维服务、服务器带宽10兆专享使用、中英文域名续费服务、网站基础技术维护服务、软件基础维护服务。</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三、项目预算：</w:t>
      </w:r>
      <w:r>
        <w:rPr>
          <w:rFonts w:hint="eastAsia" w:ascii="仿宋_GB2312" w:hAnsi="仿宋_GB2312" w:eastAsia="仿宋_GB2312" w:cs="仿宋_GB2312"/>
          <w:sz w:val="32"/>
          <w:szCs w:val="32"/>
          <w:u w:val="single"/>
          <w:lang w:val="en-US" w:eastAsia="zh-CN"/>
        </w:rPr>
        <w:t>30000元</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四、相关要求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1.有意向的单位，请按本次询价采购的要求向我单位提交报价文件：报价函（须加盖公章）；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2.采购单位按照具备相应资质、满足服务质量且综合评比分数最高的原则确定最终成交供应商。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3.在项目开展过程中，接到采购单位工作需求后原则上应及时响应、保质保量完成相关服务内容。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供应商参加本次采购活动应具备的资格条件：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（4）有依法缴纳税收和社会保障资金的良好记录</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法律、行政法规规定的其他条件。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5.合同签订：成交单位接到成交通知后30日内，到采购单位签订采购合同。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6.具体违约条款及其他未尽事宜，将在双方签订合同或协议时约定。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五、发布公告的媒介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sz w:val="32"/>
          <w:szCs w:val="32"/>
          <w:lang w:val="en-US" w:eastAsia="zh-CN"/>
        </w:rPr>
        <w:t>本次综合评比公告正在成都市劳动和技能竞赛服务中心官网（网站：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"https://www.cdghbf.cn）yi"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https://www.cdghbf.cn）</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以公告形式发布。通过发送报名邮件至769850736@qq.com进行报名，报名时间：2022年2月15日到2022年2月21日。</w:t>
      </w:r>
      <w:r>
        <w:rPr>
          <w:rFonts w:hint="eastAsia" w:ascii="仿宋_GB2312" w:hAnsi="仿宋_GB2312" w:eastAsia="仿宋_GB2312" w:cs="仿宋_GB2312"/>
          <w:b w:val="0"/>
          <w:color w:val="auto"/>
          <w:kern w:val="2"/>
          <w:sz w:val="32"/>
          <w:szCs w:val="32"/>
          <w:lang w:val="en-US" w:eastAsia="zh-CN" w:bidi="ar-SA"/>
        </w:rPr>
        <w:t>递交报价文件截止时间：2022年2月28日上午10点，地址：</w:t>
      </w:r>
      <w:r>
        <w:rPr>
          <w:rFonts w:hint="eastAsia" w:ascii="仿宋_GB2312" w:hAnsi="仿宋_GB2312" w:eastAsia="仿宋_GB2312" w:cs="仿宋_GB2312"/>
          <w:sz w:val="32"/>
          <w:szCs w:val="32"/>
          <w:lang w:val="en-US" w:eastAsia="zh-CN"/>
        </w:rPr>
        <w:t>成都市青羊区贝森路2号三楼。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sz w:val="32"/>
          <w:szCs w:val="32"/>
          <w:lang w:val="en-US" w:eastAsia="zh-CN"/>
        </w:rPr>
      </w:pPr>
      <w:bookmarkStart w:id="0" w:name="_Toc351016476"/>
      <w:bookmarkStart w:id="1" w:name="_Toc189727030"/>
      <w:bookmarkStart w:id="2" w:name="_Toc494198587"/>
      <w:bookmarkStart w:id="3" w:name="_Toc213396946"/>
      <w:bookmarkStart w:id="4" w:name="_Toc213496268"/>
      <w:bookmarkStart w:id="5" w:name="_Toc213397010"/>
      <w:bookmarkStart w:id="6" w:name="_Toc217446032"/>
      <w:bookmarkStart w:id="7" w:name="_Toc213396760"/>
      <w:r>
        <w:rPr>
          <w:rFonts w:hint="eastAsia" w:ascii="仿宋_GB2312" w:hAnsi="仿宋_GB2312" w:eastAsia="仿宋_GB2312" w:cs="仿宋_GB2312"/>
          <w:sz w:val="32"/>
          <w:szCs w:val="32"/>
          <w:lang w:val="en-US" w:eastAsia="zh-CN"/>
        </w:rPr>
        <w:t>六、供应商须知</w:t>
      </w:r>
      <w:bookmarkEnd w:id="0"/>
      <w:bookmarkEnd w:id="1"/>
      <w:bookmarkEnd w:id="2"/>
      <w:bookmarkEnd w:id="3"/>
      <w:bookmarkEnd w:id="4"/>
      <w:bookmarkEnd w:id="5"/>
      <w:bookmarkEnd w:id="6"/>
      <w:bookmarkEnd w:id="7"/>
    </w:p>
    <w:tbl>
      <w:tblPr>
        <w:tblStyle w:val="6"/>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815"/>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53" w:type="dxa"/>
            <w:noWrap w:val="0"/>
            <w:vAlign w:val="center"/>
          </w:tcPr>
          <w:p>
            <w:pPr>
              <w:keepNext w:val="0"/>
              <w:keepLines w:val="0"/>
              <w:pageBreakBefore w:val="0"/>
              <w:tabs>
                <w:tab w:val="left" w:pos="7665"/>
              </w:tabs>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序号</w:t>
            </w:r>
          </w:p>
        </w:tc>
        <w:tc>
          <w:tcPr>
            <w:tcW w:w="1815" w:type="dxa"/>
            <w:noWrap w:val="0"/>
            <w:vAlign w:val="center"/>
          </w:tcPr>
          <w:p>
            <w:pPr>
              <w:keepNext w:val="0"/>
              <w:keepLines w:val="0"/>
              <w:pageBreakBefore w:val="0"/>
              <w:tabs>
                <w:tab w:val="left" w:pos="7665"/>
              </w:tabs>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条款名称</w:t>
            </w:r>
          </w:p>
        </w:tc>
        <w:tc>
          <w:tcPr>
            <w:tcW w:w="6525" w:type="dxa"/>
            <w:noWrap w:val="0"/>
            <w:vAlign w:val="center"/>
          </w:tcPr>
          <w:p>
            <w:pPr>
              <w:keepNext w:val="0"/>
              <w:keepLines w:val="0"/>
              <w:pageBreakBefore w:val="0"/>
              <w:tabs>
                <w:tab w:val="left" w:pos="7665"/>
              </w:tabs>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bCs w:val="0"/>
                <w:color w:val="auto"/>
                <w:kern w:val="2"/>
                <w:sz w:val="24"/>
                <w:szCs w:val="24"/>
                <w:lang w:val="en-US"/>
              </w:rPr>
            </w:pPr>
            <w:r>
              <w:rPr>
                <w:rFonts w:hint="default" w:ascii="Times New Roman" w:hAnsi="Times New Roman" w:eastAsia="仿宋" w:cs="Times New Roman"/>
                <w:b/>
                <w:bCs w:val="0"/>
                <w:color w:val="auto"/>
                <w:kern w:val="2"/>
                <w:sz w:val="24"/>
                <w:szCs w:val="24"/>
                <w:lang w:val="en-US"/>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53" w:type="dxa"/>
            <w:vMerge w:val="restart"/>
            <w:noWrap w:val="0"/>
            <w:vAlign w:val="center"/>
          </w:tcPr>
          <w:p>
            <w:pPr>
              <w:keepNext w:val="0"/>
              <w:keepLines w:val="0"/>
              <w:pageBreakBefore w:val="0"/>
              <w:tabs>
                <w:tab w:val="left" w:pos="7665"/>
              </w:tabs>
              <w:kinsoku/>
              <w:wordWrap/>
              <w:overflowPunct/>
              <w:topLinePunct w:val="0"/>
              <w:bidi w:val="0"/>
              <w:snapToGrid/>
              <w:spacing w:line="400" w:lineRule="atLeast"/>
              <w:ind w:firstLine="0" w:firstLineChars="0"/>
              <w:contextualSpacing/>
              <w:jc w:val="center"/>
              <w:textAlignment w:val="auto"/>
              <w:outlineLvl w:val="9"/>
              <w:rPr>
                <w:rFonts w:hint="eastAsia" w:ascii="Times New Roman" w:hAnsi="Times New Roman" w:eastAsia="仿宋" w:cs="Times New Roman"/>
                <w:b w:val="0"/>
                <w:bCs/>
                <w:color w:val="auto"/>
                <w:sz w:val="24"/>
                <w:szCs w:val="24"/>
                <w:lang w:val="zh-CN" w:eastAsia="zh-CN"/>
              </w:rPr>
            </w:pPr>
            <w:r>
              <w:rPr>
                <w:rFonts w:hint="eastAsia" w:ascii="Times New Roman" w:hAnsi="Times New Roman" w:eastAsia="仿宋" w:cs="Times New Roman"/>
                <w:b w:val="0"/>
                <w:bCs/>
                <w:color w:val="auto"/>
                <w:kern w:val="2"/>
                <w:sz w:val="24"/>
                <w:szCs w:val="24"/>
                <w:lang w:val="en-US" w:eastAsia="zh-CN"/>
              </w:rPr>
              <w:t>1</w:t>
            </w:r>
          </w:p>
        </w:tc>
        <w:tc>
          <w:tcPr>
            <w:tcW w:w="1815" w:type="dxa"/>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采购预算</w:t>
            </w:r>
          </w:p>
        </w:tc>
        <w:tc>
          <w:tcPr>
            <w:tcW w:w="6525" w:type="dxa"/>
            <w:noWrap w:val="0"/>
            <w:vAlign w:val="center"/>
          </w:tcPr>
          <w:p>
            <w:pPr>
              <w:pStyle w:val="11"/>
              <w:keepNext w:val="0"/>
              <w:keepLines w:val="0"/>
              <w:pageBreakBefore w:val="0"/>
              <w:kinsoku/>
              <w:wordWrap/>
              <w:overflowPunct/>
              <w:topLinePunct w:val="0"/>
              <w:bidi w:val="0"/>
              <w:spacing w:line="400" w:lineRule="atLeast"/>
              <w:ind w:firstLine="240" w:firstLineChars="100"/>
              <w:contextualSpacing/>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zh-CN"/>
              </w:rPr>
              <w:t>本项目预算金额为人民币</w:t>
            </w:r>
            <w:r>
              <w:rPr>
                <w:rFonts w:hint="eastAsia" w:ascii="Times New Roman" w:hAnsi="Times New Roman" w:eastAsia="仿宋" w:cs="Times New Roman"/>
                <w:color w:val="auto"/>
                <w:sz w:val="24"/>
                <w:szCs w:val="24"/>
                <w:lang w:val="en-US" w:eastAsia="zh-CN"/>
              </w:rPr>
              <w:t>3万元</w:t>
            </w:r>
            <w:r>
              <w:rPr>
                <w:rFonts w:hint="default" w:ascii="Times New Roman" w:hAnsi="Times New Roman" w:eastAsia="仿宋" w:cs="Times New Roman"/>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vMerge w:val="continue"/>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b w:val="0"/>
                <w:bCs/>
                <w:color w:val="auto"/>
                <w:sz w:val="24"/>
                <w:szCs w:val="24"/>
                <w:lang w:val="zh-CN" w:eastAsia="zh-CN" w:bidi="ar-SA"/>
              </w:rPr>
            </w:pPr>
          </w:p>
        </w:tc>
        <w:tc>
          <w:tcPr>
            <w:tcW w:w="1815" w:type="dxa"/>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最高限价</w:t>
            </w:r>
          </w:p>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实质性要求）</w:t>
            </w:r>
          </w:p>
        </w:tc>
        <w:tc>
          <w:tcPr>
            <w:tcW w:w="6525" w:type="dxa"/>
            <w:noWrap w:val="0"/>
            <w:vAlign w:val="center"/>
          </w:tcPr>
          <w:p>
            <w:pPr>
              <w:pStyle w:val="11"/>
              <w:keepNext w:val="0"/>
              <w:keepLines w:val="0"/>
              <w:pageBreakBefore w:val="0"/>
              <w:kinsoku/>
              <w:wordWrap/>
              <w:overflowPunct/>
              <w:topLinePunct w:val="0"/>
              <w:bidi w:val="0"/>
              <w:spacing w:line="400" w:lineRule="atLeast"/>
              <w:ind w:firstLine="240" w:firstLineChars="100"/>
              <w:contextualSpacing/>
              <w:textAlignment w:val="auto"/>
              <w:outlineLvl w:val="9"/>
              <w:rPr>
                <w:rFonts w:hint="default" w:ascii="Times New Roman" w:hAnsi="Times New Roman" w:eastAsia="仿宋" w:cs="Times New Roman"/>
                <w:b w:val="0"/>
                <w:bCs/>
                <w:color w:val="auto"/>
                <w:sz w:val="24"/>
                <w:szCs w:val="24"/>
                <w:lang w:val="zh-CN"/>
              </w:rPr>
            </w:pPr>
            <w:r>
              <w:rPr>
                <w:rFonts w:hint="default" w:ascii="Times New Roman" w:hAnsi="Times New Roman" w:eastAsia="仿宋" w:cs="Times New Roman"/>
                <w:color w:val="auto"/>
                <w:sz w:val="24"/>
                <w:szCs w:val="24"/>
                <w:lang w:val="zh-CN"/>
              </w:rPr>
              <w:t>本项目最高限价为人民币</w:t>
            </w:r>
            <w:r>
              <w:rPr>
                <w:rFonts w:hint="eastAsia" w:ascii="Times New Roman" w:hAnsi="Times New Roman" w:eastAsia="仿宋" w:cs="Times New Roman"/>
                <w:color w:val="auto"/>
                <w:sz w:val="24"/>
                <w:szCs w:val="24"/>
                <w:lang w:val="en-US" w:eastAsia="zh-CN"/>
              </w:rPr>
              <w:t>3万元</w:t>
            </w:r>
            <w:r>
              <w:rPr>
                <w:rFonts w:hint="default" w:ascii="Times New Roman" w:hAnsi="Times New Roman" w:eastAsia="仿宋" w:cs="Times New Roman"/>
                <w:color w:val="auto"/>
                <w:sz w:val="24"/>
                <w:szCs w:val="24"/>
                <w:lang w:val="zh-CN"/>
              </w:rPr>
              <w:t>，供应商最后报价超过本项目最高限价的，其</w:t>
            </w:r>
            <w:r>
              <w:rPr>
                <w:rFonts w:hint="default" w:ascii="Times New Roman" w:hAnsi="Times New Roman" w:eastAsia="仿宋" w:cs="Times New Roman"/>
                <w:color w:val="auto"/>
                <w:sz w:val="24"/>
                <w:szCs w:val="24"/>
                <w:lang w:val="en-US" w:eastAsia="zh-CN"/>
              </w:rPr>
              <w:t>最后报价</w:t>
            </w:r>
            <w:r>
              <w:rPr>
                <w:rFonts w:hint="default" w:ascii="Times New Roman" w:hAnsi="Times New Roman" w:eastAsia="仿宋" w:cs="Times New Roman"/>
                <w:color w:val="auto"/>
                <w:sz w:val="24"/>
                <w:szCs w:val="24"/>
                <w:lang w:val="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b w:val="0"/>
                <w:bCs/>
                <w:color w:val="auto"/>
                <w:sz w:val="24"/>
                <w:szCs w:val="24"/>
                <w:lang w:val="en-US" w:eastAsia="zh-CN" w:bidi="ar-SA"/>
              </w:rPr>
            </w:pPr>
            <w:r>
              <w:rPr>
                <w:rFonts w:hint="eastAsia" w:ascii="Times New Roman" w:hAnsi="Times New Roman" w:eastAsia="仿宋" w:cs="Times New Roman"/>
                <w:b w:val="0"/>
                <w:bCs/>
                <w:color w:val="auto"/>
                <w:sz w:val="24"/>
                <w:szCs w:val="24"/>
                <w:lang w:val="en-US" w:eastAsia="zh-CN" w:bidi="ar-SA"/>
              </w:rPr>
              <w:t>2</w:t>
            </w:r>
          </w:p>
        </w:tc>
        <w:tc>
          <w:tcPr>
            <w:tcW w:w="1815" w:type="dxa"/>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eastAsia" w:ascii="Times New Roman" w:hAnsi="Times New Roman" w:eastAsia="仿宋" w:cs="Times New Roman"/>
                <w:color w:val="auto"/>
                <w:sz w:val="24"/>
                <w:szCs w:val="24"/>
                <w:lang w:val="zh-CN" w:eastAsia="zh-CN"/>
              </w:rPr>
            </w:pPr>
            <w:r>
              <w:rPr>
                <w:rFonts w:hint="eastAsia" w:ascii="Times New Roman" w:hAnsi="Times New Roman" w:eastAsia="仿宋" w:cs="Times New Roman"/>
                <w:color w:val="auto"/>
                <w:kern w:val="2"/>
                <w:sz w:val="24"/>
                <w:szCs w:val="24"/>
                <w:lang w:val="en-US" w:eastAsia="zh-CN"/>
              </w:rPr>
              <w:t>低于成本价</w:t>
            </w:r>
          </w:p>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w:t>
            </w:r>
            <w:r>
              <w:rPr>
                <w:rFonts w:hint="default" w:ascii="Times New Roman" w:hAnsi="Times New Roman" w:eastAsia="仿宋" w:cs="Times New Roman"/>
                <w:color w:val="auto"/>
                <w:sz w:val="24"/>
                <w:szCs w:val="24"/>
              </w:rPr>
              <w:t>实质性要求）</w:t>
            </w:r>
          </w:p>
        </w:tc>
        <w:tc>
          <w:tcPr>
            <w:tcW w:w="6525" w:type="dxa"/>
            <w:noWrap w:val="0"/>
            <w:vAlign w:val="center"/>
          </w:tcPr>
          <w:p>
            <w:pPr>
              <w:pStyle w:val="11"/>
              <w:keepNext w:val="0"/>
              <w:keepLines w:val="0"/>
              <w:pageBreakBefore w:val="0"/>
              <w:kinsoku/>
              <w:wordWrap/>
              <w:overflowPunct/>
              <w:topLinePunct w:val="0"/>
              <w:bidi w:val="0"/>
              <w:snapToGrid/>
              <w:spacing w:line="400" w:lineRule="atLeast"/>
              <w:ind w:left="0" w:leftChars="0" w:firstLine="204" w:firstLineChars="85"/>
              <w:textAlignment w:val="auto"/>
              <w:outlineLvl w:val="9"/>
              <w:rPr>
                <w:rFonts w:hint="default" w:ascii="Times New Roman" w:hAnsi="Times New Roman" w:eastAsia="仿宋" w:cs="Times New Roman"/>
                <w:b w:val="0"/>
                <w:color w:val="auto"/>
                <w:sz w:val="24"/>
                <w:szCs w:val="24"/>
                <w:lang w:val="en-US" w:eastAsia="zh-CN" w:bidi="ar-SA"/>
              </w:rPr>
            </w:pPr>
            <w:r>
              <w:rPr>
                <w:rFonts w:hint="default" w:ascii="Times New Roman" w:hAnsi="Times New Roman" w:eastAsia="仿宋" w:cs="Times New Roman"/>
                <w:b w:val="0"/>
                <w:color w:val="auto"/>
                <w:sz w:val="24"/>
                <w:szCs w:val="24"/>
                <w:lang w:val="en-US" w:eastAsia="zh-CN" w:bidi="ar-SA"/>
              </w:rPr>
              <w:t>在评审过程中，</w:t>
            </w:r>
            <w:r>
              <w:rPr>
                <w:rFonts w:hint="eastAsia" w:ascii="Times New Roman" w:hAnsi="Times New Roman" w:eastAsia="仿宋" w:cs="Times New Roman"/>
                <w:b w:val="0"/>
                <w:color w:val="auto"/>
                <w:sz w:val="24"/>
                <w:szCs w:val="24"/>
                <w:lang w:val="en-US" w:eastAsia="zh-CN" w:bidi="ar-SA"/>
              </w:rPr>
              <w:t>评比</w:t>
            </w:r>
            <w:r>
              <w:rPr>
                <w:rFonts w:hint="default" w:ascii="Times New Roman" w:hAnsi="Times New Roman" w:eastAsia="仿宋" w:cs="Times New Roman"/>
                <w:b w:val="0"/>
                <w:color w:val="auto"/>
                <w:sz w:val="24"/>
                <w:szCs w:val="24"/>
                <w:lang w:val="en-US" w:eastAsia="zh-CN" w:bidi="ar-SA"/>
              </w:rPr>
              <w:t>小组认为供应商的最后报价明显低于其他供应商的最后报价，有可能影响产品或服务质量或者不能诚信履约的，</w:t>
            </w:r>
            <w:r>
              <w:rPr>
                <w:rFonts w:hint="eastAsia" w:ascii="Times New Roman" w:hAnsi="Times New Roman" w:eastAsia="仿宋" w:cs="Times New Roman"/>
                <w:b w:val="0"/>
                <w:color w:val="auto"/>
                <w:sz w:val="24"/>
                <w:szCs w:val="24"/>
                <w:lang w:val="en-US" w:eastAsia="zh-CN" w:bidi="ar-SA"/>
              </w:rPr>
              <w:t>评比</w:t>
            </w:r>
            <w:r>
              <w:rPr>
                <w:rFonts w:hint="default" w:ascii="Times New Roman" w:hAnsi="Times New Roman" w:eastAsia="仿宋" w:cs="Times New Roman"/>
                <w:b w:val="0"/>
                <w:color w:val="auto"/>
                <w:sz w:val="24"/>
                <w:szCs w:val="24"/>
                <w:lang w:val="en-US" w:eastAsia="zh-CN" w:bidi="ar-SA"/>
              </w:rPr>
              <w:t>小组应当要求其在评审现场合理的时间内提供成本构成书面说明，必要时提交相关证明材料。</w:t>
            </w:r>
          </w:p>
          <w:p>
            <w:pPr>
              <w:pStyle w:val="11"/>
              <w:keepNext w:val="0"/>
              <w:keepLines w:val="0"/>
              <w:pageBreakBefore w:val="0"/>
              <w:kinsoku/>
              <w:wordWrap/>
              <w:overflowPunct/>
              <w:topLinePunct w:val="0"/>
              <w:bidi w:val="0"/>
              <w:snapToGrid/>
              <w:spacing w:line="400" w:lineRule="atLeast"/>
              <w:ind w:left="0" w:leftChars="0" w:firstLine="204" w:firstLineChars="85"/>
              <w:textAlignment w:val="auto"/>
              <w:outlineLvl w:val="9"/>
              <w:rPr>
                <w:rFonts w:hint="default" w:ascii="Times New Roman" w:hAnsi="Times New Roman" w:eastAsia="仿宋" w:cs="Times New Roman"/>
                <w:b w:val="0"/>
                <w:color w:val="auto"/>
                <w:sz w:val="24"/>
                <w:szCs w:val="24"/>
                <w:lang w:val="en-US" w:eastAsia="zh-CN" w:bidi="ar-SA"/>
              </w:rPr>
            </w:pPr>
            <w:r>
              <w:rPr>
                <w:rFonts w:hint="default" w:ascii="Times New Roman" w:hAnsi="Times New Roman" w:eastAsia="仿宋" w:cs="Times New Roman"/>
                <w:b w:val="0"/>
                <w:color w:val="auto"/>
                <w:sz w:val="24"/>
                <w:szCs w:val="24"/>
                <w:lang w:val="en-US" w:eastAsia="zh-CN" w:bidi="ar-SA"/>
              </w:rPr>
              <w:t>供应商书面说明应当按照国家财会会计制度的规定要求，逐项就其提供的货物或服务的主营业务成本、税金及附加、销售费用、管理费用、财务费用等成本构成事项详细陈述。</w:t>
            </w:r>
          </w:p>
          <w:p>
            <w:pPr>
              <w:pStyle w:val="11"/>
              <w:keepNext w:val="0"/>
              <w:keepLines w:val="0"/>
              <w:pageBreakBefore w:val="0"/>
              <w:kinsoku/>
              <w:wordWrap/>
              <w:overflowPunct/>
              <w:topLinePunct w:val="0"/>
              <w:bidi w:val="0"/>
              <w:snapToGrid/>
              <w:spacing w:line="400" w:lineRule="atLeast"/>
              <w:ind w:left="0" w:leftChars="0" w:firstLine="204" w:firstLineChars="85"/>
              <w:textAlignment w:val="auto"/>
              <w:outlineLvl w:val="9"/>
              <w:rPr>
                <w:rFonts w:hint="default" w:ascii="Times New Roman" w:hAnsi="Times New Roman" w:eastAsia="仿宋" w:cs="Times New Roman"/>
                <w:b w:val="0"/>
                <w:color w:val="auto"/>
                <w:sz w:val="24"/>
                <w:szCs w:val="24"/>
                <w:lang w:val="en-US" w:eastAsia="zh-CN" w:bidi="ar-SA"/>
              </w:rPr>
            </w:pPr>
            <w:r>
              <w:rPr>
                <w:rFonts w:hint="default" w:ascii="Times New Roman" w:hAnsi="Times New Roman" w:eastAsia="仿宋" w:cs="Times New Roman"/>
                <w:b w:val="0"/>
                <w:color w:val="auto"/>
                <w:sz w:val="24"/>
                <w:szCs w:val="24"/>
                <w:lang w:val="en-US" w:eastAsia="zh-CN" w:bidi="ar-SA"/>
              </w:rPr>
              <w:t>供应商书面说明应当签字确认或者加盖公章，否则无效。书面说明的签字确认，供应商为法人的，由其法定代表人/单位负责人或者代理人签字确认；供应商为其他组织的，由其负责人或者代理人签字确认；供应商为自然人的，由其本人或者代理人签字确认。</w:t>
            </w:r>
          </w:p>
          <w:p>
            <w:pPr>
              <w:pStyle w:val="11"/>
              <w:keepNext w:val="0"/>
              <w:keepLines w:val="0"/>
              <w:pageBreakBefore w:val="0"/>
              <w:kinsoku/>
              <w:wordWrap/>
              <w:overflowPunct/>
              <w:topLinePunct w:val="0"/>
              <w:bidi w:val="0"/>
              <w:snapToGrid/>
              <w:spacing w:line="400" w:lineRule="atLeast"/>
              <w:ind w:left="0" w:leftChars="0" w:firstLine="204" w:firstLineChars="85"/>
              <w:textAlignment w:val="auto"/>
              <w:outlineLvl w:val="9"/>
              <w:rPr>
                <w:rFonts w:hint="default" w:ascii="Times New Roman" w:hAnsi="Times New Roman" w:eastAsia="仿宋" w:cs="Times New Roman"/>
                <w:b w:val="0"/>
                <w:color w:val="auto"/>
                <w:sz w:val="24"/>
                <w:szCs w:val="24"/>
                <w:lang w:val="en-US" w:eastAsia="zh-CN" w:bidi="ar-SA"/>
              </w:rPr>
            </w:pPr>
            <w:r>
              <w:rPr>
                <w:rFonts w:hint="default" w:ascii="Times New Roman" w:hAnsi="Times New Roman" w:eastAsia="仿宋" w:cs="Times New Roman"/>
                <w:b w:val="0"/>
                <w:color w:val="auto"/>
                <w:sz w:val="24"/>
                <w:szCs w:val="24"/>
                <w:lang w:val="en-US" w:eastAsia="zh-CN" w:bidi="ar-SA"/>
              </w:rPr>
              <w:t>供应商提供书面说明后，</w:t>
            </w:r>
            <w:r>
              <w:rPr>
                <w:rFonts w:hint="eastAsia" w:ascii="Times New Roman" w:hAnsi="Times New Roman" w:eastAsia="仿宋" w:cs="Times New Roman"/>
                <w:b w:val="0"/>
                <w:color w:val="auto"/>
                <w:sz w:val="24"/>
                <w:szCs w:val="24"/>
                <w:lang w:val="en-US" w:eastAsia="zh-CN" w:bidi="ar-SA"/>
              </w:rPr>
              <w:t>评比</w:t>
            </w:r>
            <w:r>
              <w:rPr>
                <w:rFonts w:hint="default" w:ascii="Times New Roman" w:hAnsi="Times New Roman" w:eastAsia="仿宋" w:cs="Times New Roman"/>
                <w:b w:val="0"/>
                <w:color w:val="auto"/>
                <w:sz w:val="24"/>
                <w:szCs w:val="24"/>
                <w:lang w:val="en-US" w:eastAsia="zh-CN" w:bidi="ar-SA"/>
              </w:rPr>
              <w:t>小组应当结合采购项目采购需求、专业实际情况、供应商财务状况报告、与其他供应商比较情况等就其书面说明进行审查评价。</w:t>
            </w:r>
          </w:p>
          <w:p>
            <w:pPr>
              <w:pStyle w:val="11"/>
              <w:keepNext w:val="0"/>
              <w:keepLines w:val="0"/>
              <w:pageBreakBefore w:val="0"/>
              <w:kinsoku/>
              <w:wordWrap/>
              <w:overflowPunct/>
              <w:topLinePunct w:val="0"/>
              <w:bidi w:val="0"/>
              <w:spacing w:line="400" w:lineRule="atLeast"/>
              <w:ind w:firstLine="240" w:firstLineChars="100"/>
              <w:contextualSpacing/>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val="0"/>
                <w:color w:val="auto"/>
                <w:sz w:val="24"/>
                <w:szCs w:val="24"/>
                <w:lang w:val="en-US" w:eastAsia="zh-CN" w:bidi="ar-SA"/>
              </w:rPr>
              <w:t>供应商拒绝或者变相拒绝提供有效书面说明或者书面说明不能证明其报价合理性的或证明材料未被</w:t>
            </w:r>
            <w:r>
              <w:rPr>
                <w:rFonts w:hint="eastAsia" w:ascii="Times New Roman" w:hAnsi="Times New Roman" w:eastAsia="仿宋" w:cs="Times New Roman"/>
                <w:b w:val="0"/>
                <w:color w:val="auto"/>
                <w:sz w:val="24"/>
                <w:szCs w:val="24"/>
                <w:lang w:val="en-US" w:eastAsia="zh-CN" w:bidi="ar-SA"/>
              </w:rPr>
              <w:t>评比</w:t>
            </w:r>
            <w:r>
              <w:rPr>
                <w:rFonts w:hint="default" w:ascii="Times New Roman" w:hAnsi="Times New Roman" w:eastAsia="仿宋" w:cs="Times New Roman"/>
                <w:b w:val="0"/>
                <w:color w:val="auto"/>
                <w:sz w:val="24"/>
                <w:szCs w:val="24"/>
                <w:lang w:val="en-US" w:eastAsia="zh-CN" w:bidi="ar-SA"/>
              </w:rPr>
              <w:t>小组采纳的，</w:t>
            </w:r>
            <w:r>
              <w:rPr>
                <w:rFonts w:hint="eastAsia" w:ascii="Times New Roman" w:hAnsi="Times New Roman" w:eastAsia="仿宋" w:cs="Times New Roman"/>
                <w:b w:val="0"/>
                <w:color w:val="auto"/>
                <w:sz w:val="24"/>
                <w:szCs w:val="24"/>
                <w:lang w:val="en-US" w:eastAsia="zh-CN" w:bidi="ar-SA"/>
              </w:rPr>
              <w:t>评比</w:t>
            </w:r>
            <w:r>
              <w:rPr>
                <w:rFonts w:hint="default" w:ascii="Times New Roman" w:hAnsi="Times New Roman" w:eastAsia="仿宋" w:cs="Times New Roman"/>
                <w:b w:val="0"/>
                <w:color w:val="auto"/>
                <w:sz w:val="24"/>
                <w:szCs w:val="24"/>
                <w:lang w:val="en-US" w:eastAsia="zh-CN" w:bidi="ar-SA"/>
              </w:rPr>
              <w:t>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3" w:type="dxa"/>
            <w:noWrap w:val="0"/>
            <w:vAlign w:val="center"/>
          </w:tcPr>
          <w:p>
            <w:pPr>
              <w:keepNext w:val="0"/>
              <w:keepLines w:val="0"/>
              <w:pageBreakBefore w:val="0"/>
              <w:kinsoku/>
              <w:wordWrap/>
              <w:overflowPunct/>
              <w:topLinePunct w:val="0"/>
              <w:bidi w:val="0"/>
              <w:snapToGrid/>
              <w:spacing w:line="400" w:lineRule="atLeast"/>
              <w:ind w:firstLine="0" w:firstLineChars="0"/>
              <w:contextualSpacing/>
              <w:jc w:val="center"/>
              <w:textAlignment w:val="auto"/>
              <w:rPr>
                <w:rFonts w:hint="default" w:ascii="Times New Roman" w:hAnsi="Times New Roman" w:eastAsia="仿宋" w:cs="Times New Roman"/>
                <w:b w:val="0"/>
                <w:color w:val="auto"/>
                <w:sz w:val="24"/>
                <w:szCs w:val="24"/>
                <w:lang w:val="en-US" w:eastAsia="zh-CN" w:bidi="ar-SA"/>
              </w:rPr>
            </w:pPr>
            <w:r>
              <w:rPr>
                <w:rFonts w:hint="eastAsia" w:ascii="Times New Roman" w:hAnsi="Times New Roman" w:cs="Times New Roman"/>
                <w:b w:val="0"/>
                <w:color w:val="auto"/>
                <w:sz w:val="24"/>
                <w:szCs w:val="24"/>
                <w:lang w:val="en-US" w:eastAsia="zh-CN" w:bidi="ar-SA"/>
              </w:rPr>
              <w:t>4</w:t>
            </w:r>
          </w:p>
        </w:tc>
        <w:tc>
          <w:tcPr>
            <w:tcW w:w="1815" w:type="dxa"/>
            <w:noWrap w:val="0"/>
            <w:vAlign w:val="center"/>
          </w:tcPr>
          <w:p>
            <w:pPr>
              <w:pStyle w:val="11"/>
              <w:keepNext w:val="0"/>
              <w:keepLines w:val="0"/>
              <w:pageBreakBefore w:val="0"/>
              <w:kinsoku/>
              <w:wordWrap/>
              <w:overflowPunct/>
              <w:topLinePunct w:val="0"/>
              <w:bidi w:val="0"/>
              <w:spacing w:line="400" w:lineRule="atLeast"/>
              <w:contextualSpacing/>
              <w:jc w:val="center"/>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参数说明</w:t>
            </w:r>
          </w:p>
        </w:tc>
        <w:tc>
          <w:tcPr>
            <w:tcW w:w="6525" w:type="dxa"/>
            <w:noWrap w:val="0"/>
            <w:vAlign w:val="center"/>
          </w:tcPr>
          <w:p>
            <w:pPr>
              <w:pStyle w:val="11"/>
              <w:keepNext w:val="0"/>
              <w:keepLines w:val="0"/>
              <w:pageBreakBefore w:val="0"/>
              <w:kinsoku/>
              <w:wordWrap/>
              <w:overflowPunct/>
              <w:topLinePunct w:val="0"/>
              <w:bidi w:val="0"/>
              <w:spacing w:line="400" w:lineRule="atLeast"/>
              <w:ind w:firstLine="240" w:firstLineChars="100"/>
              <w:contextualSpacing/>
              <w:textAlignment w:val="auto"/>
              <w:outlineLvl w:val="9"/>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本项目中对未有注明的参数要求，均以标准配置为准。如在各技术参数中指出某些技术参数仅为某一品牌所特有的，仅起说明作用，并没有任何限制性。</w:t>
            </w:r>
            <w:r>
              <w:rPr>
                <w:rFonts w:hint="eastAsia" w:ascii="Times New Roman" w:hAnsi="Times New Roman" w:eastAsia="仿宋" w:cs="Times New Roman"/>
                <w:color w:val="auto"/>
                <w:sz w:val="24"/>
                <w:szCs w:val="24"/>
                <w:lang w:val="zh-CN"/>
              </w:rPr>
              <w:t>供应商</w:t>
            </w:r>
            <w:r>
              <w:rPr>
                <w:rFonts w:hint="default" w:ascii="Times New Roman" w:hAnsi="Times New Roman" w:eastAsia="仿宋" w:cs="Times New Roman"/>
                <w:color w:val="auto"/>
                <w:sz w:val="24"/>
                <w:szCs w:val="24"/>
                <w:lang w:val="zh-CN"/>
              </w:rPr>
              <w:t>可以选用替代标准，但这些替代要实质性相当于技术规格的要求，并提供相关证明材料；在</w:t>
            </w:r>
            <w:r>
              <w:rPr>
                <w:rFonts w:hint="eastAsia" w:ascii="Times New Roman" w:hAnsi="Times New Roman" w:eastAsia="仿宋" w:cs="Times New Roman"/>
                <w:color w:val="auto"/>
                <w:sz w:val="24"/>
                <w:szCs w:val="24"/>
                <w:lang w:val="zh-CN"/>
              </w:rPr>
              <w:t>磋商文件</w:t>
            </w:r>
            <w:r>
              <w:rPr>
                <w:rFonts w:hint="default" w:ascii="Times New Roman" w:hAnsi="Times New Roman" w:eastAsia="仿宋" w:cs="Times New Roman"/>
                <w:color w:val="auto"/>
                <w:sz w:val="24"/>
                <w:szCs w:val="24"/>
                <w:lang w:val="zh-CN"/>
              </w:rPr>
              <w:t>中有未提及到的技术细节或</w:t>
            </w:r>
            <w:r>
              <w:rPr>
                <w:rFonts w:hint="eastAsia" w:ascii="Times New Roman" w:hAnsi="Times New Roman" w:eastAsia="仿宋" w:cs="Times New Roman"/>
                <w:color w:val="auto"/>
                <w:sz w:val="24"/>
                <w:szCs w:val="24"/>
                <w:lang w:val="zh-CN"/>
              </w:rPr>
              <w:t>磋商文件</w:t>
            </w:r>
            <w:r>
              <w:rPr>
                <w:rFonts w:hint="default" w:ascii="Times New Roman" w:hAnsi="Times New Roman" w:eastAsia="仿宋" w:cs="Times New Roman"/>
                <w:color w:val="auto"/>
                <w:sz w:val="24"/>
                <w:szCs w:val="24"/>
                <w:lang w:val="zh-CN"/>
              </w:rPr>
              <w:t>中任何条款的叙述中没有明确的规定的，都视为是指国家（或部颁行业）的标准和规范。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53" w:type="dxa"/>
            <w:noWrap w:val="0"/>
            <w:vAlign w:val="center"/>
          </w:tcPr>
          <w:p>
            <w:pPr>
              <w:keepNext w:val="0"/>
              <w:keepLines w:val="0"/>
              <w:pageBreakBefore w:val="0"/>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val="0"/>
                <w:bCs/>
                <w:color w:val="auto"/>
                <w:sz w:val="24"/>
                <w:szCs w:val="24"/>
                <w:lang w:val="en-US" w:eastAsia="zh-CN" w:bidi="ar-SA"/>
              </w:rPr>
            </w:pPr>
            <w:r>
              <w:rPr>
                <w:rFonts w:hint="eastAsia" w:ascii="Times New Roman" w:hAnsi="Times New Roman" w:cs="Times New Roman"/>
                <w:b w:val="0"/>
                <w:bCs/>
                <w:color w:val="auto"/>
                <w:sz w:val="24"/>
                <w:szCs w:val="24"/>
                <w:lang w:val="en-US" w:eastAsia="zh-CN" w:bidi="ar-SA"/>
              </w:rPr>
              <w:t>5</w:t>
            </w:r>
          </w:p>
        </w:tc>
        <w:tc>
          <w:tcPr>
            <w:tcW w:w="1815" w:type="dxa"/>
            <w:noWrap w:val="0"/>
            <w:vAlign w:val="center"/>
          </w:tcPr>
          <w:p>
            <w:pPr>
              <w:pStyle w:val="5"/>
              <w:keepNext w:val="0"/>
              <w:keepLines w:val="0"/>
              <w:pageBreakBefore w:val="0"/>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color w:val="auto"/>
                <w:sz w:val="24"/>
                <w:szCs w:val="24"/>
                <w:lang w:val="zh-CN"/>
              </w:rPr>
            </w:pPr>
            <w:r>
              <w:rPr>
                <w:rFonts w:hint="eastAsia" w:cs="Times New Roman"/>
                <w:b w:val="0"/>
                <w:bCs/>
                <w:color w:val="auto"/>
                <w:kern w:val="2"/>
                <w:sz w:val="24"/>
                <w:szCs w:val="24"/>
                <w:lang w:val="en-US" w:eastAsia="zh-CN"/>
              </w:rPr>
              <w:t>评比</w:t>
            </w:r>
            <w:r>
              <w:rPr>
                <w:rFonts w:hint="default" w:ascii="Times New Roman" w:hAnsi="Times New Roman" w:eastAsia="仿宋" w:cs="Times New Roman"/>
                <w:b w:val="0"/>
                <w:bCs/>
                <w:color w:val="auto"/>
                <w:kern w:val="2"/>
                <w:sz w:val="24"/>
                <w:szCs w:val="24"/>
                <w:lang w:val="zh-CN" w:eastAsia="zh-CN"/>
              </w:rPr>
              <w:t>保证金</w:t>
            </w:r>
          </w:p>
        </w:tc>
        <w:tc>
          <w:tcPr>
            <w:tcW w:w="6525" w:type="dxa"/>
            <w:noWrap w:val="0"/>
            <w:vAlign w:val="center"/>
          </w:tcPr>
          <w:p>
            <w:pPr>
              <w:keepNext w:val="0"/>
              <w:keepLines w:val="0"/>
              <w:pageBreakBefore w:val="0"/>
              <w:widowControl/>
              <w:kinsoku/>
              <w:wordWrap/>
              <w:overflowPunct/>
              <w:topLinePunct w:val="0"/>
              <w:bidi w:val="0"/>
              <w:snapToGrid/>
              <w:spacing w:line="400" w:lineRule="atLeast"/>
              <w:ind w:firstLine="240" w:firstLineChars="100"/>
              <w:contextualSpacing/>
              <w:jc w:val="left"/>
              <w:textAlignment w:val="auto"/>
              <w:outlineLvl w:val="9"/>
              <w:rPr>
                <w:rFonts w:hint="default" w:ascii="Times New Roman" w:hAnsi="Times New Roman" w:eastAsia="仿宋" w:cs="Times New Roman"/>
                <w:b/>
                <w:color w:val="auto"/>
                <w:kern w:val="2"/>
                <w:sz w:val="24"/>
                <w:szCs w:val="24"/>
                <w:lang w:val="en-US" w:eastAsia="zh-CN"/>
              </w:rPr>
            </w:pPr>
            <w:r>
              <w:rPr>
                <w:rFonts w:hint="eastAsia" w:ascii="Times New Roman" w:hAnsi="Times New Roman" w:eastAsia="仿宋" w:cs="Times New Roman"/>
                <w:b w:val="0"/>
                <w:bCs/>
                <w:color w:val="auto"/>
                <w:kern w:val="2"/>
                <w:sz w:val="24"/>
                <w:szCs w:val="24"/>
                <w:lang w:val="en-US" w:eastAsia="zh-CN" w:bidi="ar-SA"/>
              </w:rPr>
              <w:t>本项目不需要缴纳评比保证金。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53" w:type="dxa"/>
            <w:noWrap w:val="0"/>
            <w:vAlign w:val="center"/>
          </w:tcPr>
          <w:p>
            <w:pPr>
              <w:keepNext w:val="0"/>
              <w:keepLines w:val="0"/>
              <w:pageBreakBefore w:val="0"/>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val="0"/>
                <w:bCs/>
                <w:color w:val="auto"/>
                <w:sz w:val="24"/>
                <w:szCs w:val="24"/>
                <w:lang w:val="en-US" w:eastAsia="zh-CN" w:bidi="ar-SA"/>
              </w:rPr>
            </w:pPr>
            <w:r>
              <w:rPr>
                <w:rFonts w:hint="eastAsia" w:ascii="Times New Roman" w:hAnsi="Times New Roman" w:cs="Times New Roman"/>
                <w:b w:val="0"/>
                <w:bCs/>
                <w:color w:val="auto"/>
                <w:sz w:val="24"/>
                <w:szCs w:val="24"/>
                <w:lang w:val="en-US" w:eastAsia="zh-CN" w:bidi="ar-SA"/>
              </w:rPr>
              <w:t>6</w:t>
            </w:r>
          </w:p>
        </w:tc>
        <w:tc>
          <w:tcPr>
            <w:tcW w:w="1815" w:type="dxa"/>
            <w:noWrap w:val="0"/>
            <w:vAlign w:val="center"/>
          </w:tcPr>
          <w:p>
            <w:pPr>
              <w:pStyle w:val="11"/>
              <w:spacing w:line="360" w:lineRule="auto"/>
              <w:ind w:left="96" w:leftChars="0"/>
              <w:jc w:val="center"/>
              <w:rPr>
                <w:rFonts w:hint="default" w:ascii="Times New Roman" w:hAnsi="Times New Roman" w:eastAsia="仿宋" w:cs="Times New Roman"/>
                <w:color w:val="auto"/>
                <w:sz w:val="24"/>
                <w:szCs w:val="24"/>
                <w:lang w:val="zh-CN" w:eastAsia="zh-CN" w:bidi="ar-SA"/>
              </w:rPr>
            </w:pPr>
            <w:r>
              <w:rPr>
                <w:rFonts w:hint="default" w:ascii="Times New Roman" w:hAnsi="Times New Roman" w:eastAsia="仿宋" w:cs="Times New Roman"/>
                <w:color w:val="auto"/>
                <w:sz w:val="24"/>
                <w:szCs w:val="24"/>
                <w:lang w:val="zh-CN"/>
              </w:rPr>
              <w:t>合同分包</w:t>
            </w:r>
          </w:p>
        </w:tc>
        <w:tc>
          <w:tcPr>
            <w:tcW w:w="6525" w:type="dxa"/>
            <w:noWrap w:val="0"/>
            <w:vAlign w:val="center"/>
          </w:tcPr>
          <w:p>
            <w:pPr>
              <w:pStyle w:val="11"/>
              <w:keepNext w:val="0"/>
              <w:keepLines w:val="0"/>
              <w:pageBreakBefore w:val="0"/>
              <w:widowControl w:val="0"/>
              <w:kinsoku/>
              <w:wordWrap/>
              <w:overflowPunct/>
              <w:topLinePunct w:val="0"/>
              <w:autoSpaceDE w:val="0"/>
              <w:autoSpaceDN w:val="0"/>
              <w:bidi w:val="0"/>
              <w:adjustRightInd w:val="0"/>
              <w:snapToGrid/>
              <w:spacing w:line="440" w:lineRule="exact"/>
              <w:ind w:firstLine="240" w:firstLineChars="100"/>
              <w:textAlignment w:val="auto"/>
              <w:rPr>
                <w:rFonts w:hint="default" w:ascii="Times New Roman" w:hAnsi="Times New Roman" w:eastAsia="仿宋" w:cs="Times New Roman"/>
                <w:color w:val="auto"/>
                <w:sz w:val="24"/>
                <w:szCs w:val="24"/>
                <w:lang w:val="zh-CN" w:eastAsia="zh-CN" w:bidi="ar-SA"/>
              </w:rPr>
            </w:pPr>
            <w:r>
              <w:rPr>
                <w:rFonts w:hint="default" w:ascii="Times New Roman" w:hAnsi="Times New Roman" w:eastAsia="仿宋" w:cs="Times New Roman"/>
                <w:color w:val="auto"/>
                <w:sz w:val="24"/>
                <w:szCs w:val="24"/>
                <w:lang w:val="zh-CN"/>
              </w:rPr>
              <w:t>本项目不接受合同分包。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3" w:type="dxa"/>
            <w:noWrap w:val="0"/>
            <w:vAlign w:val="center"/>
          </w:tcPr>
          <w:p>
            <w:pPr>
              <w:keepNext w:val="0"/>
              <w:keepLines w:val="0"/>
              <w:pageBreakBefore w:val="0"/>
              <w:kinsoku/>
              <w:wordWrap/>
              <w:overflowPunct/>
              <w:topLinePunct w:val="0"/>
              <w:bidi w:val="0"/>
              <w:snapToGrid/>
              <w:spacing w:line="400" w:lineRule="atLeast"/>
              <w:ind w:firstLine="0" w:firstLineChars="0"/>
              <w:contextualSpacing/>
              <w:jc w:val="center"/>
              <w:textAlignment w:val="auto"/>
              <w:outlineLvl w:val="9"/>
              <w:rPr>
                <w:rFonts w:hint="default" w:ascii="Times New Roman" w:hAnsi="Times New Roman" w:eastAsia="仿宋" w:cs="Times New Roman"/>
                <w:b w:val="0"/>
                <w:bCs/>
                <w:color w:val="auto"/>
                <w:sz w:val="24"/>
                <w:szCs w:val="24"/>
                <w:lang w:val="en-US" w:eastAsia="zh-CN" w:bidi="ar-SA"/>
              </w:rPr>
            </w:pPr>
            <w:r>
              <w:rPr>
                <w:rFonts w:hint="eastAsia" w:ascii="Times New Roman" w:hAnsi="Times New Roman" w:cs="Times New Roman"/>
                <w:b w:val="0"/>
                <w:bCs/>
                <w:color w:val="auto"/>
                <w:sz w:val="24"/>
                <w:szCs w:val="24"/>
                <w:lang w:val="en-US" w:eastAsia="zh-CN" w:bidi="ar-SA"/>
              </w:rPr>
              <w:t>13</w:t>
            </w:r>
          </w:p>
        </w:tc>
        <w:tc>
          <w:tcPr>
            <w:tcW w:w="1815" w:type="dxa"/>
            <w:noWrap w:val="0"/>
            <w:vAlign w:val="center"/>
          </w:tcPr>
          <w:p>
            <w:pPr>
              <w:pStyle w:val="11"/>
              <w:spacing w:line="360" w:lineRule="auto"/>
              <w:jc w:val="center"/>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zh-CN"/>
              </w:rPr>
              <w:t>声明承诺</w:t>
            </w:r>
          </w:p>
          <w:p>
            <w:pPr>
              <w:pStyle w:val="11"/>
              <w:spacing w:line="360" w:lineRule="auto"/>
              <w:jc w:val="center"/>
              <w:rPr>
                <w:rFonts w:hint="default" w:ascii="Times New Roman" w:hAnsi="Times New Roman" w:eastAsia="仿宋" w:cs="Times New Roman"/>
                <w:color w:val="auto"/>
                <w:sz w:val="24"/>
                <w:szCs w:val="24"/>
                <w:lang w:val="zh-CN" w:eastAsia="zh-CN" w:bidi="ar-SA"/>
              </w:rPr>
            </w:pPr>
            <w:r>
              <w:rPr>
                <w:rFonts w:hint="default" w:ascii="Times New Roman" w:hAnsi="Times New Roman" w:eastAsia="仿宋" w:cs="Times New Roman"/>
                <w:color w:val="auto"/>
                <w:sz w:val="24"/>
                <w:szCs w:val="24"/>
                <w:lang w:val="zh-CN"/>
              </w:rPr>
              <w:t>提醒</w:t>
            </w:r>
          </w:p>
        </w:tc>
        <w:tc>
          <w:tcPr>
            <w:tcW w:w="6525" w:type="dxa"/>
            <w:noWrap w:val="0"/>
            <w:vAlign w:val="center"/>
          </w:tcPr>
          <w:p>
            <w:pPr>
              <w:pStyle w:val="11"/>
              <w:keepNext w:val="0"/>
              <w:keepLines w:val="0"/>
              <w:pageBreakBefore w:val="0"/>
              <w:widowControl w:val="0"/>
              <w:kinsoku/>
              <w:wordWrap/>
              <w:overflowPunct/>
              <w:topLinePunct w:val="0"/>
              <w:autoSpaceDE w:val="0"/>
              <w:autoSpaceDN w:val="0"/>
              <w:bidi w:val="0"/>
              <w:adjustRightInd w:val="0"/>
              <w:snapToGrid/>
              <w:spacing w:line="440" w:lineRule="exact"/>
              <w:ind w:firstLine="240" w:firstLineChars="100"/>
              <w:jc w:val="both"/>
              <w:textAlignment w:val="auto"/>
              <w:rPr>
                <w:rFonts w:hint="default" w:ascii="Times New Roman" w:hAnsi="Times New Roman" w:eastAsia="仿宋" w:cs="Times New Roman"/>
                <w:color w:val="auto"/>
                <w:sz w:val="24"/>
                <w:szCs w:val="24"/>
                <w:lang w:val="zh-CN" w:eastAsia="zh-CN" w:bidi="ar-SA"/>
              </w:rPr>
            </w:pPr>
            <w:r>
              <w:rPr>
                <w:rFonts w:hint="default" w:ascii="Times New Roman" w:hAnsi="Times New Roman" w:eastAsia="仿宋" w:cs="Times New Roman"/>
                <w:color w:val="auto"/>
                <w:sz w:val="24"/>
                <w:szCs w:val="24"/>
                <w:lang w:val="zh-CN"/>
              </w:rPr>
              <w:t>供应商提供的各种声明和承诺应当真实有效，无效声明和承诺、虚假声明和承诺将由供应商自己承担由此带来的任何不利后果，虚假声明和承诺还将报告监管部门追究法律责任。</w:t>
            </w:r>
          </w:p>
        </w:tc>
      </w:tr>
    </w:tbl>
    <w:p>
      <w:pPr>
        <w:keepNext/>
        <w:keepLines w:val="0"/>
        <w:pageBreakBefore w:val="0"/>
        <w:widowControl w:val="0"/>
        <w:numPr>
          <w:numId w:val="0"/>
        </w:numPr>
        <w:tabs>
          <w:tab w:val="left" w:pos="360"/>
        </w:tabs>
        <w:kinsoku/>
        <w:wordWrap/>
        <w:overflowPunct/>
        <w:topLinePunct w:val="0"/>
        <w:autoSpaceDE/>
        <w:autoSpaceDN/>
        <w:bidi w:val="0"/>
        <w:adjustRightInd/>
        <w:snapToGrid/>
        <w:spacing w:before="313" w:beforeLines="100" w:after="140" w:line="560" w:lineRule="atLeast"/>
        <w:ind w:leftChars="0"/>
        <w:jc w:val="left"/>
        <w:textAlignment w:val="auto"/>
        <w:outlineLvl w:val="1"/>
        <w:rPr>
          <w:rFonts w:hint="default" w:ascii="Times New Roman" w:hAnsi="Times New Roman" w:eastAsia="仿宋" w:cs="Times New Roman"/>
          <w:b/>
          <w:color w:val="auto"/>
          <w:sz w:val="28"/>
          <w:szCs w:val="28"/>
          <w:lang w:val="en-US"/>
        </w:rPr>
      </w:pPr>
      <w:r>
        <w:rPr>
          <w:rFonts w:hint="eastAsia" w:ascii="Times New Roman" w:hAnsi="Times New Roman" w:eastAsia="仿宋" w:cs="Times New Roman"/>
          <w:b/>
          <w:color w:val="auto"/>
          <w:sz w:val="28"/>
          <w:szCs w:val="28"/>
          <w:lang w:val="en-US" w:eastAsia="zh-CN"/>
        </w:rPr>
        <w:t>八、</w:t>
      </w:r>
      <w:r>
        <w:rPr>
          <w:rFonts w:hint="default" w:ascii="Times New Roman" w:hAnsi="Times New Roman" w:eastAsia="仿宋" w:cs="Times New Roman"/>
          <w:b/>
          <w:color w:val="auto"/>
          <w:sz w:val="28"/>
          <w:szCs w:val="28"/>
          <w:lang w:val="en-US" w:eastAsia="zh-CN"/>
        </w:rPr>
        <w:t>报价</w:t>
      </w:r>
      <w:r>
        <w:rPr>
          <w:rFonts w:hint="eastAsia" w:ascii="Times New Roman" w:hAnsi="Times New Roman" w:eastAsia="仿宋" w:cs="Times New Roman"/>
          <w:b/>
          <w:color w:val="auto"/>
          <w:sz w:val="28"/>
          <w:szCs w:val="28"/>
          <w:lang w:val="en-US" w:eastAsia="zh-CN"/>
        </w:rPr>
        <w:t>单</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3"/>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zh-CN" w:eastAsia="zh-CN" w:bidi="ar-SA"/>
              </w:rPr>
            </w:pPr>
            <w:r>
              <w:rPr>
                <w:rFonts w:hint="eastAsia" w:ascii="Times New Roman" w:hAnsi="Times New Roman" w:eastAsia="仿宋" w:cs="Times New Roman"/>
                <w:color w:val="auto"/>
                <w:kern w:val="0"/>
                <w:sz w:val="24"/>
                <w:szCs w:val="24"/>
                <w:lang w:val="en-US" w:eastAsia="zh-CN" w:bidi="ar-SA"/>
              </w:rPr>
              <w:t>采购项目名称</w:t>
            </w:r>
          </w:p>
        </w:tc>
        <w:tc>
          <w:tcPr>
            <w:tcW w:w="639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采购项目编号</w:t>
            </w:r>
          </w:p>
        </w:tc>
        <w:tc>
          <w:tcPr>
            <w:tcW w:w="639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exact"/>
          <w:jc w:val="center"/>
        </w:trPr>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服务时间</w:t>
            </w:r>
          </w:p>
        </w:tc>
        <w:tc>
          <w:tcPr>
            <w:tcW w:w="639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25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供应商全程</w:t>
            </w:r>
          </w:p>
        </w:tc>
        <w:tc>
          <w:tcPr>
            <w:tcW w:w="6392"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53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项目报价</w:t>
            </w:r>
          </w:p>
        </w:tc>
        <w:tc>
          <w:tcPr>
            <w:tcW w:w="639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（大写）</w:t>
            </w:r>
          </w:p>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left"/>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（小写）</w:t>
            </w: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报价单位（加盖公章）：</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w:t>
      </w:r>
      <w:bookmarkStart w:id="8" w:name="_Toc8584"/>
      <w:bookmarkStart w:id="9" w:name="_Toc494198619"/>
      <w:bookmarkStart w:id="10" w:name="_Toc3492"/>
      <w:bookmarkStart w:id="11" w:name="_Toc2586"/>
      <w:bookmarkStart w:id="12" w:name="_Toc510441426"/>
      <w:bookmarkStart w:id="13" w:name="_Toc2063"/>
      <w:r>
        <w:rPr>
          <w:rFonts w:hint="eastAsia" w:ascii="仿宋_GB2312" w:hAnsi="仿宋_GB2312" w:eastAsia="仿宋_GB2312" w:cs="仿宋_GB2312"/>
          <w:sz w:val="32"/>
          <w:szCs w:val="32"/>
          <w:lang w:val="en-US" w:eastAsia="zh-CN"/>
        </w:rPr>
        <w:t>评比办法</w:t>
      </w:r>
      <w:bookmarkEnd w:id="8"/>
      <w:bookmarkEnd w:id="9"/>
      <w:bookmarkEnd w:id="10"/>
      <w:bookmarkEnd w:id="11"/>
      <w:bookmarkEnd w:id="12"/>
      <w:bookmarkEnd w:id="13"/>
      <w:bookmarkStart w:id="14" w:name="_Hlt101846155"/>
      <w:bookmarkEnd w:id="14"/>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评比</w:t>
      </w:r>
      <w:r>
        <w:rPr>
          <w:rFonts w:hint="default" w:ascii="仿宋_GB2312" w:hAnsi="仿宋_GB2312" w:eastAsia="仿宋_GB2312" w:cs="仿宋_GB2312"/>
          <w:sz w:val="32"/>
          <w:szCs w:val="32"/>
          <w:lang w:val="en-US" w:eastAsia="zh-CN"/>
        </w:rPr>
        <w:t>工作应遵循公平、公正、科学及择优的原则，并以相同的磋商程序和标准对待所有的供应商。</w:t>
      </w:r>
      <w:r>
        <w:rPr>
          <w:rFonts w:hint="eastAsia" w:ascii="仿宋_GB2312" w:hAnsi="仿宋_GB2312" w:eastAsia="仿宋_GB2312" w:cs="仿宋_GB2312"/>
          <w:sz w:val="32"/>
          <w:szCs w:val="32"/>
          <w:lang w:val="en-US" w:eastAsia="zh-CN"/>
        </w:rPr>
        <w:t>评比</w:t>
      </w:r>
      <w:r>
        <w:rPr>
          <w:rFonts w:hint="default" w:ascii="仿宋_GB2312" w:hAnsi="仿宋_GB2312" w:eastAsia="仿宋_GB2312" w:cs="仿宋_GB2312"/>
          <w:sz w:val="32"/>
          <w:szCs w:val="32"/>
          <w:lang w:val="en-US" w:eastAsia="zh-CN"/>
        </w:rPr>
        <w:t>小组按照</w:t>
      </w:r>
      <w:r>
        <w:rPr>
          <w:rFonts w:hint="eastAsia" w:ascii="仿宋_GB2312" w:hAnsi="仿宋_GB2312" w:eastAsia="仿宋_GB2312" w:cs="仿宋_GB2312"/>
          <w:sz w:val="32"/>
          <w:szCs w:val="32"/>
          <w:lang w:val="en-US" w:eastAsia="zh-CN"/>
        </w:rPr>
        <w:t>评比</w:t>
      </w:r>
      <w:r>
        <w:rPr>
          <w:rFonts w:hint="default" w:ascii="仿宋_GB2312" w:hAnsi="仿宋_GB2312" w:eastAsia="仿宋_GB2312" w:cs="仿宋_GB2312"/>
          <w:sz w:val="32"/>
          <w:szCs w:val="32"/>
          <w:lang w:val="en-US" w:eastAsia="zh-CN"/>
        </w:rPr>
        <w:t>文件规定的评分方法和标准进行评审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综合评分统计表</w:t>
      </w:r>
    </w:p>
    <w:tbl>
      <w:tblPr>
        <w:tblStyle w:val="6"/>
        <w:tblW w:w="10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71"/>
        <w:gridCol w:w="813"/>
        <w:gridCol w:w="632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5"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序号</w:t>
            </w:r>
          </w:p>
        </w:tc>
        <w:tc>
          <w:tcPr>
            <w:tcW w:w="1071"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评分因素及权重</w:t>
            </w:r>
          </w:p>
        </w:tc>
        <w:tc>
          <w:tcPr>
            <w:tcW w:w="813"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分值</w:t>
            </w:r>
          </w:p>
        </w:tc>
        <w:tc>
          <w:tcPr>
            <w:tcW w:w="6320"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评分标准</w:t>
            </w:r>
          </w:p>
        </w:tc>
        <w:tc>
          <w:tcPr>
            <w:tcW w:w="1447"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45"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w:t>
            </w: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报价（50%）</w:t>
            </w:r>
          </w:p>
        </w:tc>
        <w:tc>
          <w:tcPr>
            <w:tcW w:w="813"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50分</w:t>
            </w:r>
          </w:p>
        </w:tc>
        <w:tc>
          <w:tcPr>
            <w:tcW w:w="63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经评审有效比选申请中比选价格最低的比选报价作为评标基准价：比选报价得分=（评标基准价/比选报价）×50；2.供应商被记入诚信档案且在有效期内，失信行为未受到行政处理或司法惩处的供应商，将在实际报价得分的基础上扣除5分。</w:t>
            </w:r>
          </w:p>
        </w:tc>
        <w:tc>
          <w:tcPr>
            <w:tcW w:w="1447"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45"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w:t>
            </w: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服务方案（45%）</w:t>
            </w:r>
          </w:p>
        </w:tc>
        <w:tc>
          <w:tcPr>
            <w:tcW w:w="813"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45分</w:t>
            </w:r>
          </w:p>
        </w:tc>
        <w:tc>
          <w:tcPr>
            <w:tcW w:w="63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根据供应商提供的报价函进行评分，报价函有：</w:t>
            </w:r>
            <w:r>
              <w:rPr>
                <w:rFonts w:hint="default" w:ascii="Times New Roman" w:hAnsi="Times New Roman" w:eastAsia="仿宋" w:cs="Times New Roman"/>
                <w:color w:val="auto"/>
                <w:kern w:val="0"/>
                <w:sz w:val="24"/>
                <w:szCs w:val="24"/>
                <w:lang w:val="en-US" w:eastAsia="zh-CN" w:bidi="ar-SA"/>
              </w:rPr>
              <w:t>①</w:t>
            </w:r>
            <w:r>
              <w:rPr>
                <w:rFonts w:hint="eastAsia" w:ascii="Times New Roman" w:hAnsi="Times New Roman" w:eastAsia="仿宋" w:cs="Times New Roman"/>
                <w:color w:val="auto"/>
                <w:kern w:val="0"/>
                <w:sz w:val="24"/>
                <w:szCs w:val="24"/>
                <w:lang w:val="en-US" w:eastAsia="zh-CN" w:bidi="ar-SA"/>
              </w:rPr>
              <w:t>服务器托管服务内容项；</w:t>
            </w:r>
            <w:r>
              <w:rPr>
                <w:rFonts w:hint="default" w:ascii="Times New Roman" w:hAnsi="Times New Roman" w:eastAsia="仿宋" w:cs="Times New Roman"/>
                <w:color w:val="auto"/>
                <w:kern w:val="0"/>
                <w:sz w:val="24"/>
                <w:szCs w:val="24"/>
                <w:lang w:val="en-US" w:eastAsia="zh-CN" w:bidi="ar-SA"/>
              </w:rPr>
              <w:t>②</w:t>
            </w:r>
            <w:r>
              <w:rPr>
                <w:rFonts w:hint="eastAsia" w:ascii="Times New Roman" w:hAnsi="Times New Roman" w:eastAsia="仿宋" w:cs="Times New Roman"/>
                <w:color w:val="auto"/>
                <w:kern w:val="0"/>
                <w:sz w:val="24"/>
                <w:szCs w:val="24"/>
                <w:lang w:val="en-US" w:eastAsia="zh-CN" w:bidi="ar-SA"/>
              </w:rPr>
              <w:t>针对项目有详细的网站基础技术维护服务内容项介绍；</w:t>
            </w:r>
            <w:r>
              <w:rPr>
                <w:rFonts w:hint="default" w:ascii="Times New Roman" w:hAnsi="Times New Roman" w:eastAsia="仿宋" w:cs="Times New Roman"/>
                <w:color w:val="auto"/>
                <w:kern w:val="0"/>
                <w:sz w:val="24"/>
                <w:szCs w:val="24"/>
                <w:lang w:val="en-US" w:eastAsia="zh-CN" w:bidi="ar-SA"/>
              </w:rPr>
              <w:t>③</w:t>
            </w:r>
            <w:r>
              <w:rPr>
                <w:rFonts w:hint="eastAsia" w:ascii="Times New Roman" w:hAnsi="Times New Roman" w:eastAsia="仿宋" w:cs="Times New Roman"/>
                <w:color w:val="auto"/>
                <w:kern w:val="0"/>
                <w:sz w:val="24"/>
                <w:szCs w:val="24"/>
                <w:lang w:val="en-US" w:eastAsia="zh-CN" w:bidi="ar-SA"/>
              </w:rPr>
              <w:t>详细的服务器基础运维介绍④中英文域名续费服务⑤工作平台软件基础维护服务内容项，以上每满足一方面得9分；相应方面有缺陷或有瑕疵或不完善的得5分；相应方面未提供则该方面不得分。本项满分45分</w:t>
            </w:r>
          </w:p>
        </w:tc>
        <w:tc>
          <w:tcPr>
            <w:tcW w:w="1447"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745"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w:t>
            </w:r>
          </w:p>
        </w:tc>
        <w:tc>
          <w:tcPr>
            <w:tcW w:w="1071"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现场服务能力情况5（5%）</w:t>
            </w:r>
          </w:p>
        </w:tc>
        <w:tc>
          <w:tcPr>
            <w:tcW w:w="813"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5分</w:t>
            </w:r>
          </w:p>
        </w:tc>
        <w:tc>
          <w:tcPr>
            <w:tcW w:w="6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现场服务能力情况：供应商注册登记位于成都市或位于成都市有注册登记分公司的的5分；供应商注册登记地不在成都且在成都市无注册登记的分公司，但在成都市有本地化服务机构的得3分；供应商在成都市无本地化服务机构的，不得分。</w:t>
            </w:r>
          </w:p>
        </w:tc>
        <w:tc>
          <w:tcPr>
            <w:tcW w:w="1447" w:type="dxa"/>
            <w:noWrap/>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9"/>
              <w:rPr>
                <w:rFonts w:hint="eastAsia" w:ascii="Times New Roman" w:hAnsi="Times New Roman" w:eastAsia="仿宋" w:cs="Times New Roman"/>
                <w:color w:val="auto"/>
                <w:kern w:val="0"/>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成都市劳动和技能竞赛服务中心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15" w:name="_GoBack"/>
      <w:bookmarkEnd w:id="15"/>
      <w:r>
        <w:rPr>
          <w:rFonts w:hint="eastAsia" w:ascii="仿宋_GB2312" w:hAnsi="仿宋_GB2312" w:eastAsia="仿宋_GB2312" w:cs="仿宋_GB2312"/>
          <w:sz w:val="32"/>
          <w:szCs w:val="32"/>
          <w:lang w:val="en-US" w:eastAsia="zh-CN"/>
        </w:rPr>
        <w:t>2022年2月15日       </w:t>
      </w:r>
    </w:p>
    <w:p>
      <w:pPr>
        <w:rPr>
          <w:rFonts w:hint="default" w:ascii="仿宋_GB2312" w:hAnsi="仿宋_GB2312" w:eastAsia="仿宋_GB2312" w:cs="仿宋_GB2312"/>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26495"/>
    <w:multiLevelType w:val="singleLevel"/>
    <w:tmpl w:val="94B26495"/>
    <w:lvl w:ilvl="0" w:tentative="0">
      <w:start w:val="1"/>
      <w:numFmt w:val="chineseCounting"/>
      <w:suff w:val="nothing"/>
      <w:lvlText w:val="%1、"/>
      <w:lvlJc w:val="left"/>
      <w:rPr>
        <w:rFonts w:hint="eastAsia"/>
      </w:rPr>
    </w:lvl>
  </w:abstractNum>
  <w:abstractNum w:abstractNumId="1">
    <w:nsid w:val="AB688004"/>
    <w:multiLevelType w:val="multilevel"/>
    <w:tmpl w:val="AB688004"/>
    <w:lvl w:ilvl="0" w:tentative="0">
      <w:start w:val="1"/>
      <w:numFmt w:val="chineseCounting"/>
      <w:pStyle w:val="4"/>
      <w:suff w:val="nothing"/>
      <w:lvlText w:val="第%1章 "/>
      <w:lvlJc w:val="left"/>
      <w:pPr>
        <w:tabs>
          <w:tab w:val="left" w:pos="0"/>
        </w:tabs>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YjEwYjBmYjdmNzJhYTRmODEwMjYyZjM5ZjBjMzUifQ=="/>
  </w:docVars>
  <w:rsids>
    <w:rsidRoot w:val="00000000"/>
    <w:rsid w:val="02302AA7"/>
    <w:rsid w:val="02DD70BE"/>
    <w:rsid w:val="05D61306"/>
    <w:rsid w:val="0B636D51"/>
    <w:rsid w:val="0CC33DF9"/>
    <w:rsid w:val="0CCF624D"/>
    <w:rsid w:val="0E4428A5"/>
    <w:rsid w:val="13FA0E17"/>
    <w:rsid w:val="165878EE"/>
    <w:rsid w:val="18631508"/>
    <w:rsid w:val="18F91B23"/>
    <w:rsid w:val="1F3332D6"/>
    <w:rsid w:val="21CC1EA5"/>
    <w:rsid w:val="28BC62C4"/>
    <w:rsid w:val="2F78315A"/>
    <w:rsid w:val="31342958"/>
    <w:rsid w:val="32E20814"/>
    <w:rsid w:val="38090263"/>
    <w:rsid w:val="3C9639F8"/>
    <w:rsid w:val="439E2AC3"/>
    <w:rsid w:val="458147A2"/>
    <w:rsid w:val="469A2107"/>
    <w:rsid w:val="47FB7F56"/>
    <w:rsid w:val="4B0F6FFC"/>
    <w:rsid w:val="53A84805"/>
    <w:rsid w:val="54627485"/>
    <w:rsid w:val="5816330B"/>
    <w:rsid w:val="6010057B"/>
    <w:rsid w:val="62085225"/>
    <w:rsid w:val="6A7F1314"/>
    <w:rsid w:val="6DA63F32"/>
    <w:rsid w:val="784B674D"/>
    <w:rsid w:val="7C1C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709"/>
        <w:tab w:val="clear" w:pos="0"/>
      </w:tabs>
      <w:spacing w:before="340" w:after="330" w:line="400" w:lineRule="exact"/>
      <w:ind w:left="425" w:hanging="425" w:firstLineChars="0"/>
      <w:jc w:val="center"/>
      <w:outlineLvl w:val="0"/>
    </w:pPr>
    <w:rPr>
      <w:b/>
      <w:color w:val="000000"/>
      <w:kern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b/>
      <w:color w:val="auto"/>
      <w:kern w:val="2"/>
      <w:sz w:val="21"/>
      <w:szCs w:val="24"/>
    </w:rPr>
  </w:style>
  <w:style w:type="paragraph" w:styleId="3">
    <w:name w:val="Plain Text"/>
    <w:basedOn w:val="1"/>
    <w:next w:val="1"/>
    <w:qFormat/>
    <w:uiPriority w:val="0"/>
    <w:rPr>
      <w:rFonts w:hAnsi="Courier New"/>
      <w:b/>
      <w:color w:val="auto"/>
      <w:kern w:val="2"/>
      <w:sz w:val="21"/>
      <w:szCs w:val="20"/>
      <w:lang w:val="en-US"/>
    </w:rPr>
  </w:style>
  <w:style w:type="paragraph" w:styleId="5">
    <w:name w:val="Body Text Indent"/>
    <w:basedOn w:val="1"/>
    <w:uiPriority w:val="0"/>
    <w:pPr>
      <w:ind w:firstLine="630"/>
    </w:pPr>
    <w:rPr>
      <w:rFonts w:ascii="Times New Roman" w:hAnsi="Times New Roman"/>
      <w:b/>
      <w:color w:val="auto"/>
      <w:sz w:val="20"/>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customStyle="1" w:styleId="1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
    <w:name w:val="kerning2lochf13hichaf2db"/>
    <w:uiPriority w:val="0"/>
    <w:pPr>
      <w:widowControl w:val="0"/>
      <w:autoSpaceDE w:val="0"/>
      <w:autoSpaceDN w:val="0"/>
      <w:adjustRightInd w:val="0"/>
      <w:jc w:val="both"/>
    </w:pPr>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2027</Words>
  <Characters>2116</Characters>
  <Lines>0</Lines>
  <Paragraphs>0</Paragraphs>
  <TotalTime>4</TotalTime>
  <ScaleCrop>false</ScaleCrop>
  <LinksUpToDate>false</LinksUpToDate>
  <CharactersWithSpaces>2189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2022-05-27T06:50:00Z</dcterms:created>
  <dc:creator>ComP</dc:creator>
  <cp:lastModifiedBy>Administrator</cp:lastModifiedBy>
  <cp:lastPrinted>2023-02-08T05:37:33Z</cp:lastPrinted>
  <dcterms:modified xsi:type="dcterms:W3CDTF">2023-02-08T05:49:00Z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A3B5388E166249A49CD064DD9E30C206</vt:lpwstr>
  </property>
</Properties>
</file>